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8" w:rsidRDefault="008876D8" w:rsidP="007753C3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1304966</wp:posOffset>
            </wp:positionH>
            <wp:positionV relativeFrom="margin">
              <wp:posOffset>-531864</wp:posOffset>
            </wp:positionV>
            <wp:extent cx="3538855" cy="615315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BD0" w:rsidRDefault="00424BD0" w:rsidP="00433603">
      <w:pPr>
        <w:jc w:val="both"/>
      </w:pPr>
    </w:p>
    <w:p w:rsidR="00221934" w:rsidRDefault="00221934" w:rsidP="00BE065A">
      <w:pPr>
        <w:jc w:val="center"/>
        <w:rPr>
          <w:b/>
          <w:u w:val="single"/>
        </w:rPr>
      </w:pPr>
      <w:r w:rsidRPr="00BE065A">
        <w:rPr>
          <w:b/>
          <w:u w:val="single"/>
        </w:rPr>
        <w:t>Service Strike Report</w:t>
      </w:r>
    </w:p>
    <w:p w:rsidR="00A24B97" w:rsidRDefault="00A24B97" w:rsidP="00A24B97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579"/>
        <w:gridCol w:w="1610"/>
        <w:gridCol w:w="2844"/>
      </w:tblGrid>
      <w:tr w:rsidR="00A24B97" w:rsidRPr="005323F6" w:rsidTr="004674A2">
        <w:tc>
          <w:tcPr>
            <w:tcW w:w="2381" w:type="dxa"/>
            <w:shd w:val="pct15" w:color="auto" w:fill="auto"/>
          </w:tcPr>
          <w:p w:rsidR="00A24B97" w:rsidRPr="005323F6" w:rsidRDefault="00A24B97" w:rsidP="004674A2">
            <w:pPr>
              <w:rPr>
                <w:rFonts w:eastAsia="Calibri"/>
                <w:b/>
              </w:rPr>
            </w:pPr>
            <w:r w:rsidRPr="005323F6">
              <w:rPr>
                <w:rFonts w:eastAsia="Calibri"/>
                <w:b/>
              </w:rPr>
              <w:t>Operating Business</w:t>
            </w:r>
          </w:p>
        </w:tc>
        <w:tc>
          <w:tcPr>
            <w:tcW w:w="2789" w:type="dxa"/>
            <w:shd w:val="clear" w:color="auto" w:fill="auto"/>
          </w:tcPr>
          <w:p w:rsidR="00A24B97" w:rsidRPr="005323F6" w:rsidRDefault="00A24B97" w:rsidP="004674A2">
            <w:pPr>
              <w:rPr>
                <w:rFonts w:eastAsia="Calibri"/>
              </w:rPr>
            </w:pPr>
          </w:p>
        </w:tc>
        <w:tc>
          <w:tcPr>
            <w:tcW w:w="1611" w:type="dxa"/>
            <w:shd w:val="pct15" w:color="auto" w:fill="auto"/>
          </w:tcPr>
          <w:p w:rsidR="00A24B97" w:rsidRPr="005323F6" w:rsidRDefault="00A24B97" w:rsidP="004674A2">
            <w:pPr>
              <w:rPr>
                <w:rFonts w:eastAsia="Calibri"/>
                <w:b/>
              </w:rPr>
            </w:pPr>
            <w:r w:rsidRPr="005323F6">
              <w:rPr>
                <w:rFonts w:eastAsia="Calibri"/>
                <w:b/>
              </w:rPr>
              <w:t>Development</w:t>
            </w:r>
          </w:p>
        </w:tc>
        <w:tc>
          <w:tcPr>
            <w:tcW w:w="3077" w:type="dxa"/>
            <w:shd w:val="clear" w:color="auto" w:fill="auto"/>
          </w:tcPr>
          <w:p w:rsidR="00A24B97" w:rsidRPr="005323F6" w:rsidRDefault="00A24B97" w:rsidP="004674A2">
            <w:pPr>
              <w:rPr>
                <w:rFonts w:eastAsia="Calibri"/>
              </w:rPr>
            </w:pPr>
          </w:p>
        </w:tc>
      </w:tr>
    </w:tbl>
    <w:p w:rsidR="00221934" w:rsidRDefault="00221934" w:rsidP="00221934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07"/>
        <w:gridCol w:w="3515"/>
      </w:tblGrid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 xml:space="preserve">Site name and address (Include the name of the closet town and county): 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rPr>
                <w:b/>
                <w:color w:val="FF0000"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Date and time of incident: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BE065A" w:rsidP="005A79B9">
            <w:pPr>
              <w:jc w:val="both"/>
            </w:pPr>
            <w:r w:rsidRPr="00BE065A">
              <w:t>Site M</w:t>
            </w:r>
            <w:r w:rsidR="00221934" w:rsidRPr="00BE065A">
              <w:t>anager</w:t>
            </w:r>
            <w:r w:rsidRPr="00BE065A">
              <w:t>’</w:t>
            </w:r>
            <w:r w:rsidR="00221934" w:rsidRPr="00BE065A">
              <w:t>s name:</w:t>
            </w:r>
          </w:p>
          <w:p w:rsidR="00221934" w:rsidRPr="00BE065A" w:rsidRDefault="00221934" w:rsidP="005A79B9">
            <w:pPr>
              <w:jc w:val="both"/>
            </w:pPr>
            <w:r w:rsidRPr="00BE065A">
              <w:t>Phone number: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Groundworks Company: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BE065A" w:rsidP="005A79B9">
            <w:pPr>
              <w:jc w:val="both"/>
            </w:pPr>
            <w:r w:rsidRPr="00BE065A">
              <w:t>Groundworks S</w:t>
            </w:r>
            <w:r w:rsidR="00221934" w:rsidRPr="00BE065A">
              <w:t xml:space="preserve">upervisor: 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ab/>
            </w: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Location of strike (include closest plot number and a brief description.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Permit to Dig/break ground issued?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Investigation carried out and by whom?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Further action required? (Yes/No):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</w:p>
        </w:tc>
      </w:tr>
      <w:tr w:rsidR="00221934" w:rsidRPr="00BE065A" w:rsidTr="00EF6AB0">
        <w:tc>
          <w:tcPr>
            <w:tcW w:w="5807" w:type="dxa"/>
          </w:tcPr>
          <w:p w:rsidR="00221934" w:rsidRPr="00BE065A" w:rsidRDefault="00221934" w:rsidP="005A79B9">
            <w:pPr>
              <w:jc w:val="both"/>
            </w:pPr>
            <w:r w:rsidRPr="00BE065A">
              <w:t>Follow-up action completed on:</w:t>
            </w:r>
          </w:p>
        </w:tc>
        <w:tc>
          <w:tcPr>
            <w:tcW w:w="351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</w:p>
        </w:tc>
      </w:tr>
    </w:tbl>
    <w:p w:rsidR="00221934" w:rsidRPr="00BE065A" w:rsidRDefault="00221934" w:rsidP="00221934">
      <w:pPr>
        <w:rPr>
          <w:b/>
        </w:rPr>
      </w:pPr>
    </w:p>
    <w:p w:rsidR="00090527" w:rsidRDefault="00090527" w:rsidP="00221934">
      <w:pPr>
        <w:rPr>
          <w:b/>
        </w:rPr>
      </w:pPr>
      <w:r w:rsidRPr="00BE065A">
        <w:rPr>
          <w:b/>
        </w:rPr>
        <w:t xml:space="preserve">Environment of </w:t>
      </w:r>
      <w:r w:rsidR="00BE065A">
        <w:rPr>
          <w:b/>
        </w:rPr>
        <w:t xml:space="preserve">the </w:t>
      </w:r>
      <w:r w:rsidRPr="00BE065A">
        <w:rPr>
          <w:b/>
        </w:rPr>
        <w:t>works</w:t>
      </w:r>
      <w:r w:rsidR="00D55FF2">
        <w:rPr>
          <w:b/>
        </w:rPr>
        <w:t xml:space="preserve"> (tick one section only)</w:t>
      </w:r>
    </w:p>
    <w:p w:rsidR="00BE065A" w:rsidRPr="00BE065A" w:rsidRDefault="00BE065A" w:rsidP="00221934">
      <w:pPr>
        <w:rPr>
          <w:b/>
        </w:rPr>
      </w:pPr>
    </w:p>
    <w:tbl>
      <w:tblPr>
        <w:tblStyle w:val="TableGrid1"/>
        <w:tblW w:w="9299" w:type="dxa"/>
        <w:tblLayout w:type="fixed"/>
        <w:tblLook w:val="04A0" w:firstRow="1" w:lastRow="0" w:firstColumn="1" w:lastColumn="0" w:noHBand="0" w:noVBand="1"/>
      </w:tblPr>
      <w:tblGrid>
        <w:gridCol w:w="2186"/>
        <w:gridCol w:w="6031"/>
        <w:gridCol w:w="1082"/>
      </w:tblGrid>
      <w:tr w:rsidR="00221934" w:rsidRPr="00BE065A" w:rsidTr="00EF6AB0">
        <w:trPr>
          <w:trHeight w:val="267"/>
        </w:trPr>
        <w:tc>
          <w:tcPr>
            <w:tcW w:w="2186" w:type="dxa"/>
          </w:tcPr>
          <w:p w:rsidR="00221934" w:rsidRPr="00BE065A" w:rsidRDefault="00221934" w:rsidP="00221934">
            <w:pPr>
              <w:rPr>
                <w:b/>
                <w:bCs/>
              </w:rPr>
            </w:pPr>
            <w:r w:rsidRPr="00BE065A">
              <w:rPr>
                <w:b/>
                <w:bCs/>
              </w:rPr>
              <w:t xml:space="preserve">Type                               </w:t>
            </w:r>
          </w:p>
        </w:tc>
        <w:tc>
          <w:tcPr>
            <w:tcW w:w="6031" w:type="dxa"/>
          </w:tcPr>
          <w:p w:rsidR="00221934" w:rsidRPr="00BE065A" w:rsidRDefault="00221934" w:rsidP="00221934">
            <w:pPr>
              <w:rPr>
                <w:b/>
                <w:bCs/>
              </w:rPr>
            </w:pPr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082" w:type="dxa"/>
          </w:tcPr>
          <w:p w:rsidR="00221934" w:rsidRPr="00BE065A" w:rsidRDefault="00090527" w:rsidP="00221934">
            <w:pPr>
              <w:rPr>
                <w:b/>
                <w:bCs/>
              </w:rPr>
            </w:pPr>
            <w:r w:rsidRPr="00BE065A">
              <w:rPr>
                <w:b/>
                <w:bCs/>
              </w:rPr>
              <w:t>Tick</w:t>
            </w:r>
          </w:p>
        </w:tc>
      </w:tr>
      <w:tr w:rsidR="00221934" w:rsidRPr="00BE065A" w:rsidTr="00EF6AB0">
        <w:trPr>
          <w:trHeight w:val="542"/>
        </w:trPr>
        <w:tc>
          <w:tcPr>
            <w:tcW w:w="2186" w:type="dxa"/>
          </w:tcPr>
          <w:p w:rsidR="00221934" w:rsidRPr="00BE065A" w:rsidRDefault="00221934" w:rsidP="00221934">
            <w:r w:rsidRPr="00BE065A">
              <w:t xml:space="preserve">Inner City                        </w:t>
            </w:r>
          </w:p>
        </w:tc>
        <w:tc>
          <w:tcPr>
            <w:tcW w:w="6031" w:type="dxa"/>
          </w:tcPr>
          <w:p w:rsidR="00221934" w:rsidRPr="00BE065A" w:rsidRDefault="00221934" w:rsidP="005A79B9">
            <w:pPr>
              <w:jc w:val="both"/>
            </w:pPr>
            <w:r w:rsidRPr="00BE065A">
              <w:t>A typically highly congested area in the middle of a</w:t>
            </w:r>
          </w:p>
          <w:p w:rsidR="00221934" w:rsidRPr="00BE065A" w:rsidRDefault="00221934" w:rsidP="005A79B9">
            <w:pPr>
              <w:jc w:val="both"/>
            </w:pPr>
            <w:r w:rsidRPr="00BE065A">
              <w:t>city</w:t>
            </w:r>
          </w:p>
        </w:tc>
        <w:tc>
          <w:tcPr>
            <w:tcW w:w="1082" w:type="dxa"/>
          </w:tcPr>
          <w:p w:rsidR="00221934" w:rsidRPr="00BE065A" w:rsidRDefault="00221934" w:rsidP="00221934"/>
        </w:tc>
      </w:tr>
      <w:tr w:rsidR="00221934" w:rsidRPr="00BE065A" w:rsidTr="00EF6AB0">
        <w:trPr>
          <w:trHeight w:val="271"/>
        </w:trPr>
        <w:tc>
          <w:tcPr>
            <w:tcW w:w="2186" w:type="dxa"/>
          </w:tcPr>
          <w:p w:rsidR="00221934" w:rsidRPr="00BE065A" w:rsidRDefault="00221934" w:rsidP="00221934">
            <w:r w:rsidRPr="00BE065A">
              <w:t xml:space="preserve">Suburbs     </w:t>
            </w:r>
          </w:p>
        </w:tc>
        <w:tc>
          <w:tcPr>
            <w:tcW w:w="6031" w:type="dxa"/>
          </w:tcPr>
          <w:p w:rsidR="00221934" w:rsidRPr="00BE065A" w:rsidRDefault="00221934" w:rsidP="005A79B9">
            <w:pPr>
              <w:jc w:val="both"/>
            </w:pPr>
            <w:r w:rsidRPr="00BE065A">
              <w:t>The outer reaches of a City</w:t>
            </w:r>
          </w:p>
        </w:tc>
        <w:tc>
          <w:tcPr>
            <w:tcW w:w="1082" w:type="dxa"/>
          </w:tcPr>
          <w:p w:rsidR="00221934" w:rsidRPr="00BE065A" w:rsidRDefault="00221934" w:rsidP="00221934"/>
        </w:tc>
      </w:tr>
      <w:tr w:rsidR="00221934" w:rsidRPr="00BE065A" w:rsidTr="00EF6AB0">
        <w:trPr>
          <w:trHeight w:val="271"/>
        </w:trPr>
        <w:tc>
          <w:tcPr>
            <w:tcW w:w="2186" w:type="dxa"/>
          </w:tcPr>
          <w:p w:rsidR="00221934" w:rsidRPr="00BE065A" w:rsidRDefault="00221934" w:rsidP="00221934">
            <w:r w:rsidRPr="00BE065A">
              <w:t xml:space="preserve">Town  </w:t>
            </w:r>
          </w:p>
        </w:tc>
        <w:tc>
          <w:tcPr>
            <w:tcW w:w="6031" w:type="dxa"/>
          </w:tcPr>
          <w:p w:rsidR="00221934" w:rsidRPr="00BE065A" w:rsidRDefault="00221934" w:rsidP="005A79B9">
            <w:pPr>
              <w:jc w:val="both"/>
            </w:pPr>
            <w:r w:rsidRPr="00BE065A">
              <w:t>A typical town environment</w:t>
            </w:r>
          </w:p>
        </w:tc>
        <w:tc>
          <w:tcPr>
            <w:tcW w:w="1082" w:type="dxa"/>
          </w:tcPr>
          <w:p w:rsidR="00221934" w:rsidRPr="00BE065A" w:rsidRDefault="00221934" w:rsidP="00221934"/>
        </w:tc>
      </w:tr>
      <w:tr w:rsidR="00221934" w:rsidRPr="00BE065A" w:rsidTr="00EF6AB0">
        <w:trPr>
          <w:trHeight w:val="271"/>
        </w:trPr>
        <w:tc>
          <w:tcPr>
            <w:tcW w:w="2186" w:type="dxa"/>
          </w:tcPr>
          <w:p w:rsidR="00221934" w:rsidRPr="00BE065A" w:rsidRDefault="00221934" w:rsidP="00221934">
            <w:r w:rsidRPr="00BE065A">
              <w:t>Village</w:t>
            </w:r>
          </w:p>
        </w:tc>
        <w:tc>
          <w:tcPr>
            <w:tcW w:w="6031" w:type="dxa"/>
          </w:tcPr>
          <w:p w:rsidR="00221934" w:rsidRPr="00BE065A" w:rsidRDefault="00221934" w:rsidP="005A79B9">
            <w:pPr>
              <w:jc w:val="both"/>
            </w:pPr>
            <w:r w:rsidRPr="00BE065A">
              <w:t>A typical village environment</w:t>
            </w:r>
          </w:p>
        </w:tc>
        <w:tc>
          <w:tcPr>
            <w:tcW w:w="1082" w:type="dxa"/>
          </w:tcPr>
          <w:p w:rsidR="00221934" w:rsidRPr="00BE065A" w:rsidRDefault="00221934" w:rsidP="00221934"/>
        </w:tc>
      </w:tr>
      <w:tr w:rsidR="00221934" w:rsidRPr="00BE065A" w:rsidTr="008C41CB">
        <w:trPr>
          <w:trHeight w:val="633"/>
        </w:trPr>
        <w:tc>
          <w:tcPr>
            <w:tcW w:w="2186" w:type="dxa"/>
          </w:tcPr>
          <w:p w:rsidR="00221934" w:rsidRPr="00BE065A" w:rsidRDefault="008C41CB" w:rsidP="00221934">
            <w:r w:rsidRPr="00BE065A">
              <w:t xml:space="preserve">Urban/Industrial    </w:t>
            </w:r>
            <w:r w:rsidR="00221934" w:rsidRPr="00BE065A">
              <w:t xml:space="preserve">    </w:t>
            </w:r>
          </w:p>
        </w:tc>
        <w:tc>
          <w:tcPr>
            <w:tcW w:w="6031" w:type="dxa"/>
          </w:tcPr>
          <w:p w:rsidR="008C41CB" w:rsidRPr="00BE065A" w:rsidRDefault="00221934" w:rsidP="005A79B9">
            <w:pPr>
              <w:jc w:val="both"/>
            </w:pPr>
            <w:r w:rsidRPr="00BE065A">
              <w:t>An urban or industrial area out of town, such as a Business Park, where services are likely to be less congested</w:t>
            </w:r>
          </w:p>
        </w:tc>
        <w:tc>
          <w:tcPr>
            <w:tcW w:w="1082" w:type="dxa"/>
          </w:tcPr>
          <w:p w:rsidR="00221934" w:rsidRPr="00BE065A" w:rsidRDefault="00221934" w:rsidP="00221934"/>
          <w:p w:rsidR="00221934" w:rsidRPr="00BE065A" w:rsidRDefault="00221934" w:rsidP="00221934"/>
          <w:p w:rsidR="00221934" w:rsidRPr="00BE065A" w:rsidRDefault="00221934" w:rsidP="00221934"/>
        </w:tc>
      </w:tr>
      <w:tr w:rsidR="00221934" w:rsidRPr="00BE065A" w:rsidTr="00EF6AB0">
        <w:trPr>
          <w:trHeight w:val="271"/>
        </w:trPr>
        <w:tc>
          <w:tcPr>
            <w:tcW w:w="2186" w:type="dxa"/>
          </w:tcPr>
          <w:p w:rsidR="00221934" w:rsidRPr="00BE065A" w:rsidRDefault="00221934" w:rsidP="00221934">
            <w:r w:rsidRPr="00BE065A">
              <w:t>Rural</w:t>
            </w:r>
          </w:p>
        </w:tc>
        <w:tc>
          <w:tcPr>
            <w:tcW w:w="6031" w:type="dxa"/>
          </w:tcPr>
          <w:p w:rsidR="00221934" w:rsidRPr="00BE065A" w:rsidRDefault="00221934" w:rsidP="005A79B9">
            <w:pPr>
              <w:jc w:val="both"/>
            </w:pPr>
            <w:r w:rsidRPr="00BE065A">
              <w:t>A typical rural setting</w:t>
            </w:r>
          </w:p>
        </w:tc>
        <w:tc>
          <w:tcPr>
            <w:tcW w:w="1082" w:type="dxa"/>
          </w:tcPr>
          <w:p w:rsidR="00221934" w:rsidRPr="00BE065A" w:rsidRDefault="00221934" w:rsidP="00221934"/>
        </w:tc>
      </w:tr>
      <w:tr w:rsidR="00221934" w:rsidRPr="00BE065A" w:rsidTr="00EF6AB0">
        <w:trPr>
          <w:trHeight w:val="542"/>
        </w:trPr>
        <w:tc>
          <w:tcPr>
            <w:tcW w:w="2186" w:type="dxa"/>
          </w:tcPr>
          <w:p w:rsidR="00221934" w:rsidRPr="00BE065A" w:rsidRDefault="00221934" w:rsidP="00221934">
            <w:r w:rsidRPr="00BE065A">
              <w:t>Other</w:t>
            </w:r>
          </w:p>
        </w:tc>
        <w:tc>
          <w:tcPr>
            <w:tcW w:w="6031" w:type="dxa"/>
          </w:tcPr>
          <w:p w:rsidR="00221934" w:rsidRPr="00BE065A" w:rsidRDefault="00221934" w:rsidP="005A79B9">
            <w:pPr>
              <w:jc w:val="both"/>
            </w:pPr>
            <w:r w:rsidRPr="00BE065A">
              <w:t xml:space="preserve">Including other environments such as a airports, barracks, hospitals etc. </w:t>
            </w:r>
          </w:p>
        </w:tc>
        <w:tc>
          <w:tcPr>
            <w:tcW w:w="1082" w:type="dxa"/>
          </w:tcPr>
          <w:p w:rsidR="00221934" w:rsidRPr="00BE065A" w:rsidRDefault="00221934" w:rsidP="00221934"/>
          <w:p w:rsidR="00221934" w:rsidRPr="00BE065A" w:rsidRDefault="00221934" w:rsidP="00221934"/>
        </w:tc>
      </w:tr>
    </w:tbl>
    <w:p w:rsidR="00221934" w:rsidRPr="00BE065A" w:rsidRDefault="00221934" w:rsidP="00221934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28"/>
        <w:gridCol w:w="5989"/>
        <w:gridCol w:w="1105"/>
      </w:tblGrid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r w:rsidRPr="00BE065A">
              <w:rPr>
                <w:b/>
              </w:rPr>
              <w:t xml:space="preserve">Location type 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>Description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Roadways/carriage ways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 constructed surface used by motor vehicles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Footpath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 constructed surface used for walking by pedestrians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rPr>
          <w:trHeight w:val="214"/>
        </w:trPr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Garden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Front or rear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Driveway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 vehicular access to a house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Private Land/Field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An enclosed area of land predominantly in agricultural use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Car Park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An area dedicated to vehicle parking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Unmade ground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An unconstructed/temporary surface used for vehicular access or parking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Verge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A grassed area located adjacent to footpath or carriageway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Watercourse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 xml:space="preserve">Any watercourse including rivers, streams, ditches </w:t>
            </w:r>
            <w:proofErr w:type="spellStart"/>
            <w:r w:rsidRPr="00BE065A">
              <w:rPr>
                <w:rFonts w:eastAsia="Times New Roman"/>
              </w:rPr>
              <w:t>etc</w:t>
            </w:r>
            <w:proofErr w:type="spellEnd"/>
            <w:r w:rsidRPr="00BE065A">
              <w:rPr>
                <w:rFonts w:eastAsia="Times New Roman"/>
              </w:rPr>
              <w:t xml:space="preserve"> and their banks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No location recorded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  <w:r w:rsidRPr="00BE065A">
              <w:rPr>
                <w:rFonts w:eastAsia="Times New Roman"/>
              </w:rPr>
              <w:t>Location not reported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  <w:jc w:val="both"/>
              <w:rPr>
                <w:rFonts w:eastAsia="Times New Roman"/>
              </w:rPr>
            </w:pPr>
          </w:p>
        </w:tc>
      </w:tr>
    </w:tbl>
    <w:p w:rsidR="00221934" w:rsidRDefault="00221934" w:rsidP="00221934">
      <w:pPr>
        <w:rPr>
          <w:b/>
        </w:rPr>
      </w:pPr>
    </w:p>
    <w:p w:rsidR="0038627B" w:rsidRPr="00BE065A" w:rsidRDefault="0038627B" w:rsidP="00221934">
      <w:pPr>
        <w:rPr>
          <w:b/>
        </w:rPr>
      </w:pPr>
      <w:bookmarkStart w:id="0" w:name="_GoBack"/>
      <w:bookmarkEnd w:id="0"/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228"/>
        <w:gridCol w:w="5989"/>
        <w:gridCol w:w="1105"/>
      </w:tblGrid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r w:rsidRPr="00BE065A">
              <w:rPr>
                <w:b/>
              </w:rPr>
              <w:t>Asset Damaged</w:t>
            </w:r>
          </w:p>
        </w:tc>
        <w:tc>
          <w:tcPr>
            <w:tcW w:w="5989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>Description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lastRenderedPageBreak/>
              <w:t>Elec – LV (&lt;1000)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An electrical service cable carrying a load of up to 1000v not including street lighting cables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 xml:space="preserve">Elec – HV (&gt;1000) 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An electrical service cable carrying a load above 1000v</w:t>
            </w:r>
          </w:p>
        </w:tc>
        <w:tc>
          <w:tcPr>
            <w:tcW w:w="1105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Elec – Street Lighting Cable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cable supplying electricity to street lighting columns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Gas – LP (&lt;7bar)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gas pipe which operates up to a pressure of 7 bar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Gas – HP (&gt;7bar)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gas pipe which operates over a pressure of 7 bar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Pipeline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pipe that conveys fuel e.g. oil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Telecom – Copper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telecommunication cable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Telecom – Fibre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telecommunication fibre optic cable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Sewer/Drainage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pipe that conveys waste, surface or combined water flows</w:t>
            </w:r>
          </w:p>
        </w:tc>
        <w:tc>
          <w:tcPr>
            <w:tcW w:w="1105" w:type="dxa"/>
          </w:tcPr>
          <w:p w:rsidR="00221934" w:rsidRPr="00BE065A" w:rsidRDefault="00221934" w:rsidP="005A79B9"/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Water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water pipe that conveys potable or raw water</w:t>
            </w:r>
          </w:p>
        </w:tc>
        <w:tc>
          <w:tcPr>
            <w:tcW w:w="1105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</w:tbl>
    <w:p w:rsidR="00221934" w:rsidRPr="00BE065A" w:rsidRDefault="00221934" w:rsidP="005A79B9">
      <w:pPr>
        <w:rPr>
          <w:b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28"/>
        <w:gridCol w:w="5989"/>
        <w:gridCol w:w="1134"/>
      </w:tblGrid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r w:rsidRPr="00BE065A">
              <w:rPr>
                <w:b/>
              </w:rPr>
              <w:t xml:space="preserve">Asset </w:t>
            </w:r>
            <w:r w:rsidR="008C41CB" w:rsidRPr="00BE065A">
              <w:rPr>
                <w:b/>
              </w:rPr>
              <w:t>Type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221934" w:rsidRPr="00BE065A" w:rsidRDefault="00221934" w:rsidP="005A79B9">
            <w:pPr>
              <w:tabs>
                <w:tab w:val="left" w:pos="1497"/>
              </w:tabs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Main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An underground principal utility</w:t>
            </w:r>
          </w:p>
        </w:tc>
        <w:tc>
          <w:tcPr>
            <w:tcW w:w="1134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Service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An underground supply from the principal utility to the end user</w:t>
            </w:r>
          </w:p>
        </w:tc>
        <w:tc>
          <w:tcPr>
            <w:tcW w:w="1134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228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Overhead</w:t>
            </w:r>
          </w:p>
        </w:tc>
        <w:tc>
          <w:tcPr>
            <w:tcW w:w="5989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Any service suspended on pylons, poles, etc.</w:t>
            </w:r>
          </w:p>
        </w:tc>
        <w:tc>
          <w:tcPr>
            <w:tcW w:w="1134" w:type="dxa"/>
          </w:tcPr>
          <w:p w:rsidR="00221934" w:rsidRPr="00BE065A" w:rsidRDefault="00221934" w:rsidP="005A79B9">
            <w:pPr>
              <w:spacing w:after="100" w:afterAutospacing="1"/>
            </w:pPr>
          </w:p>
        </w:tc>
      </w:tr>
    </w:tbl>
    <w:p w:rsidR="00221934" w:rsidRPr="00BE065A" w:rsidRDefault="00221934" w:rsidP="00221934">
      <w:pPr>
        <w:rPr>
          <w:b/>
        </w:rPr>
      </w:pPr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09"/>
      </w:tblGrid>
      <w:tr w:rsidR="00090527" w:rsidRPr="00BE065A" w:rsidTr="00090527">
        <w:trPr>
          <w:trHeight w:val="264"/>
        </w:trPr>
        <w:tc>
          <w:tcPr>
            <w:tcW w:w="2263" w:type="dxa"/>
            <w:vMerge w:val="restart"/>
          </w:tcPr>
          <w:p w:rsidR="00090527" w:rsidRPr="00BE065A" w:rsidRDefault="00090527" w:rsidP="00221934">
            <w:r w:rsidRPr="00BE065A">
              <w:t xml:space="preserve">Was the service </w:t>
            </w:r>
          </w:p>
          <w:p w:rsidR="00090527" w:rsidRPr="00BE065A" w:rsidRDefault="00090527" w:rsidP="00221934">
            <w:proofErr w:type="gramStart"/>
            <w:r w:rsidRPr="00BE065A">
              <w:t>interrupted</w:t>
            </w:r>
            <w:proofErr w:type="gramEnd"/>
            <w:r w:rsidRPr="00BE065A">
              <w:t>?</w:t>
            </w:r>
          </w:p>
        </w:tc>
        <w:tc>
          <w:tcPr>
            <w:tcW w:w="709" w:type="dxa"/>
          </w:tcPr>
          <w:p w:rsidR="00090527" w:rsidRPr="00BE065A" w:rsidRDefault="00090527" w:rsidP="00221934">
            <w:pPr>
              <w:rPr>
                <w:b/>
              </w:rPr>
            </w:pPr>
            <w:r w:rsidRPr="00BE065A">
              <w:rPr>
                <w:b/>
              </w:rPr>
              <w:t>Y/N</w:t>
            </w:r>
          </w:p>
        </w:tc>
      </w:tr>
      <w:tr w:rsidR="00090527" w:rsidRPr="00BE065A" w:rsidTr="00090527">
        <w:trPr>
          <w:trHeight w:val="278"/>
        </w:trPr>
        <w:tc>
          <w:tcPr>
            <w:tcW w:w="2263" w:type="dxa"/>
            <w:vMerge/>
          </w:tcPr>
          <w:p w:rsidR="00090527" w:rsidRPr="00BE065A" w:rsidRDefault="00090527" w:rsidP="00221934"/>
        </w:tc>
        <w:tc>
          <w:tcPr>
            <w:tcW w:w="709" w:type="dxa"/>
          </w:tcPr>
          <w:p w:rsidR="00090527" w:rsidRPr="00BE065A" w:rsidRDefault="00090527" w:rsidP="00221934"/>
        </w:tc>
      </w:tr>
    </w:tbl>
    <w:p w:rsidR="00221934" w:rsidRPr="00BE065A" w:rsidRDefault="00221934" w:rsidP="00221934">
      <w:pPr>
        <w:rPr>
          <w:b/>
        </w:rPr>
      </w:pPr>
    </w:p>
    <w:p w:rsidR="00221934" w:rsidRDefault="00221934" w:rsidP="00221934">
      <w:pPr>
        <w:rPr>
          <w:b/>
        </w:rPr>
      </w:pPr>
      <w:r w:rsidRPr="00BE065A">
        <w:rPr>
          <w:b/>
        </w:rPr>
        <w:t>Severity of the Strike</w:t>
      </w:r>
      <w:r w:rsidR="00D55FF2">
        <w:rPr>
          <w:b/>
        </w:rPr>
        <w:t xml:space="preserve"> (tick one section only)</w:t>
      </w:r>
    </w:p>
    <w:p w:rsidR="00BE065A" w:rsidRPr="00BE065A" w:rsidRDefault="00BE065A" w:rsidP="00221934">
      <w:pPr>
        <w:rPr>
          <w:b/>
        </w:rPr>
      </w:pPr>
    </w:p>
    <w:p w:rsidR="00221934" w:rsidRPr="00BE065A" w:rsidRDefault="00221934" w:rsidP="00BE065A">
      <w:pPr>
        <w:jc w:val="both"/>
      </w:pPr>
      <w:r w:rsidRPr="00BE065A">
        <w:t>If any classification of the strikes is in a more serious classification then the highest classification should be used</w:t>
      </w:r>
      <w:r w:rsidR="00BE065A">
        <w:t xml:space="preserve">. For example, if no injuries </w:t>
      </w:r>
      <w:r w:rsidRPr="00BE065A">
        <w:t>(LOW) but major delays (HIGH) then it should be classified as HIGH. In the description box delete anything that is not applicable</w:t>
      </w:r>
      <w:r w:rsidR="00BE065A">
        <w:t>.</w:t>
      </w:r>
      <w:r w:rsidRPr="00BE065A">
        <w:t xml:space="preserve"> </w:t>
      </w:r>
    </w:p>
    <w:p w:rsidR="00221934" w:rsidRPr="00BE065A" w:rsidRDefault="00221934" w:rsidP="00221934">
      <w:pPr>
        <w:rPr>
          <w:b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63"/>
        <w:gridCol w:w="5954"/>
        <w:gridCol w:w="1134"/>
      </w:tblGrid>
      <w:tr w:rsidR="00221934" w:rsidRPr="00BE065A" w:rsidTr="00EF6AB0">
        <w:tc>
          <w:tcPr>
            <w:tcW w:w="2263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5954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263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Low</w:t>
            </w:r>
          </w:p>
        </w:tc>
        <w:tc>
          <w:tcPr>
            <w:tcW w:w="5954" w:type="dxa"/>
          </w:tcPr>
          <w:p w:rsidR="00221934" w:rsidRPr="00BE065A" w:rsidRDefault="00221934" w:rsidP="005A79B9">
            <w:pPr>
              <w:jc w:val="both"/>
            </w:pPr>
            <w:r w:rsidRPr="00BE065A">
              <w:t>None/Minor injuries</w:t>
            </w:r>
          </w:p>
          <w:p w:rsidR="00221934" w:rsidRPr="00BE065A" w:rsidRDefault="00221934" w:rsidP="005A79B9">
            <w:pPr>
              <w:jc w:val="both"/>
            </w:pPr>
            <w:r w:rsidRPr="00BE065A">
              <w:t>None/Minor delays or disruption incurred</w:t>
            </w:r>
          </w:p>
          <w:p w:rsidR="00221934" w:rsidRPr="00BE065A" w:rsidRDefault="00221934" w:rsidP="005A79B9">
            <w:pPr>
              <w:jc w:val="both"/>
            </w:pPr>
            <w:r w:rsidRPr="00BE065A">
              <w:t>No interruption to supply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/>
        </w:tc>
      </w:tr>
      <w:tr w:rsidR="00221934" w:rsidRPr="00BE065A" w:rsidTr="00EF6AB0">
        <w:tc>
          <w:tcPr>
            <w:tcW w:w="2263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Medium</w:t>
            </w:r>
          </w:p>
        </w:tc>
        <w:tc>
          <w:tcPr>
            <w:tcW w:w="5954" w:type="dxa"/>
          </w:tcPr>
          <w:p w:rsidR="00221934" w:rsidRPr="00BE065A" w:rsidRDefault="00221934" w:rsidP="005A79B9">
            <w:pPr>
              <w:jc w:val="both"/>
            </w:pPr>
            <w:r w:rsidRPr="00BE065A">
              <w:t>Reportable injury</w:t>
            </w:r>
          </w:p>
          <w:p w:rsidR="00221934" w:rsidRPr="00BE065A" w:rsidRDefault="00221934" w:rsidP="005A79B9">
            <w:pPr>
              <w:jc w:val="both"/>
            </w:pPr>
            <w:r w:rsidRPr="00BE065A">
              <w:t>Significant delays or disruption incurred</w:t>
            </w:r>
          </w:p>
          <w:p w:rsidR="00221934" w:rsidRPr="00BE065A" w:rsidRDefault="00221934" w:rsidP="005A79B9">
            <w:pPr>
              <w:jc w:val="both"/>
            </w:pPr>
            <w:r w:rsidRPr="00BE065A">
              <w:t>Minor interruption to supply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/>
        </w:tc>
      </w:tr>
      <w:tr w:rsidR="00221934" w:rsidRPr="00BE065A" w:rsidTr="00EF6AB0">
        <w:tc>
          <w:tcPr>
            <w:tcW w:w="2263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High</w:t>
            </w:r>
          </w:p>
        </w:tc>
        <w:tc>
          <w:tcPr>
            <w:tcW w:w="5954" w:type="dxa"/>
          </w:tcPr>
          <w:p w:rsidR="00221934" w:rsidRPr="00BE065A" w:rsidRDefault="00221934" w:rsidP="005A79B9">
            <w:pPr>
              <w:jc w:val="both"/>
            </w:pPr>
            <w:r w:rsidRPr="00BE065A">
              <w:t>Serious/fatal injuries</w:t>
            </w:r>
          </w:p>
          <w:p w:rsidR="00221934" w:rsidRPr="00BE065A" w:rsidRDefault="00221934" w:rsidP="005A79B9">
            <w:pPr>
              <w:jc w:val="both"/>
            </w:pPr>
            <w:r w:rsidRPr="00BE065A">
              <w:t>Major delays or disruption incurred</w:t>
            </w:r>
          </w:p>
          <w:p w:rsidR="00221934" w:rsidRPr="00BE065A" w:rsidRDefault="00221934" w:rsidP="005A79B9">
            <w:pPr>
              <w:jc w:val="both"/>
            </w:pPr>
            <w:r w:rsidRPr="00BE065A">
              <w:t>Threat to public safety</w:t>
            </w:r>
          </w:p>
          <w:p w:rsidR="00221934" w:rsidRPr="00BE065A" w:rsidRDefault="00221934" w:rsidP="005A79B9">
            <w:pPr>
              <w:jc w:val="both"/>
            </w:pPr>
            <w:r w:rsidRPr="00BE065A">
              <w:t>Media coverage</w:t>
            </w:r>
          </w:p>
          <w:p w:rsidR="00221934" w:rsidRPr="00BE065A" w:rsidRDefault="00221934" w:rsidP="005A79B9">
            <w:pPr>
              <w:jc w:val="both"/>
            </w:pPr>
            <w:r w:rsidRPr="00BE065A">
              <w:t>Significant interruption to supply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/>
        </w:tc>
      </w:tr>
    </w:tbl>
    <w:p w:rsidR="00221934" w:rsidRPr="00BE065A" w:rsidRDefault="00221934" w:rsidP="00221934">
      <w:pPr>
        <w:rPr>
          <w:b/>
        </w:rPr>
      </w:pPr>
    </w:p>
    <w:p w:rsidR="00BE065A" w:rsidRDefault="00221934" w:rsidP="00221934">
      <w:pPr>
        <w:rPr>
          <w:b/>
        </w:rPr>
      </w:pPr>
      <w:r w:rsidRPr="00BE065A">
        <w:rPr>
          <w:b/>
        </w:rPr>
        <w:t>Cause of the damage</w:t>
      </w:r>
      <w:r w:rsidR="00BE065A">
        <w:rPr>
          <w:b/>
        </w:rPr>
        <w:t xml:space="preserve"> </w:t>
      </w:r>
      <w:r w:rsidR="00D55FF2">
        <w:rPr>
          <w:b/>
        </w:rPr>
        <w:t>–</w:t>
      </w:r>
      <w:r w:rsidRPr="00BE065A">
        <w:rPr>
          <w:b/>
        </w:rPr>
        <w:t xml:space="preserve"> </w:t>
      </w:r>
      <w:r w:rsidR="00BE065A">
        <w:rPr>
          <w:b/>
        </w:rPr>
        <w:t>p</w:t>
      </w:r>
      <w:r w:rsidRPr="00BE065A">
        <w:rPr>
          <w:b/>
        </w:rPr>
        <w:t>lanning</w:t>
      </w:r>
      <w:r w:rsidR="00D55FF2">
        <w:rPr>
          <w:b/>
        </w:rPr>
        <w:t xml:space="preserve"> (tick one section only)</w:t>
      </w:r>
    </w:p>
    <w:p w:rsidR="00221934" w:rsidRPr="00BE065A" w:rsidRDefault="00221934" w:rsidP="00221934">
      <w:pPr>
        <w:rPr>
          <w:b/>
        </w:rPr>
      </w:pPr>
      <w:r w:rsidRPr="00BE065A">
        <w:rPr>
          <w:b/>
        </w:rPr>
        <w:tab/>
      </w: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2321"/>
        <w:gridCol w:w="5896"/>
        <w:gridCol w:w="1134"/>
      </w:tblGrid>
      <w:tr w:rsidR="00221934" w:rsidRPr="00BE065A" w:rsidTr="00EF6AB0">
        <w:trPr>
          <w:trHeight w:val="203"/>
        </w:trPr>
        <w:tc>
          <w:tcPr>
            <w:tcW w:w="2321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5896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Insufficient competency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Insufficient competency, including training and experience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Insufficient gang skills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Insufficient skills of gang chosen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Insufficient scheduling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Insufficient scheduling of activities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Assets not on relevant plans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Plans of relevant utility did not show utility asset damaged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Plan of damaged asset not present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Plans of utility damaged not present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Inaccuracy of plans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Utility asset damaged not shown correctly on plans on site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Inadequate assessment of works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Insufficient assessment of works required including not</w:t>
            </w:r>
          </w:p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sufficient equipment provided etc.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Insufficient time allowed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Insufficient time allowed to complete works in given timeframe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Inadequate survey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Survey practices not sufficient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</w:tbl>
    <w:p w:rsidR="008C41CB" w:rsidRPr="00BE065A" w:rsidRDefault="008C41CB" w:rsidP="00221934">
      <w:pPr>
        <w:rPr>
          <w:b/>
        </w:rPr>
      </w:pPr>
    </w:p>
    <w:p w:rsidR="00221934" w:rsidRDefault="00221934" w:rsidP="00221934">
      <w:pPr>
        <w:rPr>
          <w:b/>
        </w:rPr>
      </w:pPr>
      <w:r w:rsidRPr="00BE065A">
        <w:rPr>
          <w:b/>
        </w:rPr>
        <w:t>Cause of damage</w:t>
      </w:r>
      <w:r w:rsidR="00E40672">
        <w:rPr>
          <w:b/>
        </w:rPr>
        <w:t xml:space="preserve"> –</w:t>
      </w:r>
      <w:r w:rsidR="00BE065A">
        <w:rPr>
          <w:b/>
        </w:rPr>
        <w:t xml:space="preserve"> e</w:t>
      </w:r>
      <w:r w:rsidRPr="00BE065A">
        <w:rPr>
          <w:b/>
        </w:rPr>
        <w:t>xecution</w:t>
      </w:r>
      <w:r w:rsidR="00D55FF2">
        <w:rPr>
          <w:b/>
        </w:rPr>
        <w:t xml:space="preserve"> (tick one section only)</w:t>
      </w:r>
    </w:p>
    <w:p w:rsidR="00E40672" w:rsidRPr="00BE065A" w:rsidRDefault="00E40672" w:rsidP="00221934">
      <w:pPr>
        <w:rPr>
          <w:b/>
        </w:rPr>
      </w:pPr>
    </w:p>
    <w:tbl>
      <w:tblPr>
        <w:tblStyle w:val="TableGrid1"/>
        <w:tblW w:w="9358" w:type="dxa"/>
        <w:tblLayout w:type="fixed"/>
        <w:tblLook w:val="04A0" w:firstRow="1" w:lastRow="0" w:firstColumn="1" w:lastColumn="0" w:noHBand="0" w:noVBand="1"/>
      </w:tblPr>
      <w:tblGrid>
        <w:gridCol w:w="2321"/>
        <w:gridCol w:w="5896"/>
        <w:gridCol w:w="1141"/>
      </w:tblGrid>
      <w:tr w:rsidR="00221934" w:rsidRPr="00BE065A" w:rsidTr="00EF6AB0">
        <w:trPr>
          <w:trHeight w:val="203"/>
        </w:trPr>
        <w:tc>
          <w:tcPr>
            <w:tcW w:w="2321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5896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Insufficient survey practices (use of location equipment)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Inadequate use of locating equipment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Misuse of tools/equipment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Inappropriate/misuse of plant, tools or equipment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Not following procedure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Identified that Company Procedures were not being fully followed by individual or by group</w:t>
            </w:r>
          </w:p>
        </w:tc>
        <w:tc>
          <w:tcPr>
            <w:tcW w:w="1141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Inattention/lack of awareness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Followed Company Procedures but adjudged as human error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Clearance not maintained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Recommended HSG47 guidelines separation distance between plant and utility not followed</w:t>
            </w:r>
          </w:p>
        </w:tc>
        <w:tc>
          <w:tcPr>
            <w:tcW w:w="1141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Inadequate workplace environment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 xml:space="preserve">Congested or poorly laid out workplace environment (not relating to density of services) including congested or restricted motion or inadequate or excessive illumination 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 xml:space="preserve">Service </w:t>
            </w:r>
            <w:proofErr w:type="spellStart"/>
            <w:r w:rsidRPr="00BE065A">
              <w:t>markup</w:t>
            </w:r>
            <w:proofErr w:type="spellEnd"/>
            <w:r w:rsidRPr="00BE065A">
              <w:t xml:space="preserve"> not maintained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Marks identified utility location taken out during excavation and not re-marked</w:t>
            </w:r>
          </w:p>
        </w:tc>
        <w:tc>
          <w:tcPr>
            <w:tcW w:w="1141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Inadequate trench support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 xml:space="preserve">Trench not properly supported or trench support causing damage to utility 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Inadequate backfilling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Backfilling of excavation/trench causing damage to utility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5A79B9">
            <w:pPr>
              <w:spacing w:after="100" w:afterAutospacing="1"/>
            </w:pPr>
            <w:r w:rsidRPr="00BE065A">
              <w:t>Excavation practices not sufficient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No or inadequate development/implementation/enforcement of Safe System of Work</w:t>
            </w:r>
          </w:p>
        </w:tc>
        <w:tc>
          <w:tcPr>
            <w:tcW w:w="1141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No Protective Systems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No or inadequate guards or protective systems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Lack of supervision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For non-use of a banksman or similar</w:t>
            </w:r>
          </w:p>
        </w:tc>
        <w:tc>
          <w:tcPr>
            <w:tcW w:w="1141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</w:tbl>
    <w:p w:rsidR="00221934" w:rsidRPr="00BE065A" w:rsidRDefault="00221934" w:rsidP="00221934">
      <w:pPr>
        <w:rPr>
          <w:b/>
        </w:rPr>
      </w:pPr>
    </w:p>
    <w:p w:rsidR="00221934" w:rsidRDefault="00221934" w:rsidP="00221934">
      <w:pPr>
        <w:rPr>
          <w:b/>
        </w:rPr>
      </w:pPr>
      <w:r w:rsidRPr="00BE065A">
        <w:rPr>
          <w:b/>
        </w:rPr>
        <w:t>Equipment used</w:t>
      </w:r>
      <w:r w:rsidR="00D55FF2">
        <w:rPr>
          <w:b/>
        </w:rPr>
        <w:t xml:space="preserve"> (tick one section only)</w:t>
      </w:r>
    </w:p>
    <w:p w:rsidR="00BE065A" w:rsidRPr="00BE065A" w:rsidRDefault="00BE065A" w:rsidP="00221934">
      <w:pPr>
        <w:rPr>
          <w:b/>
        </w:rPr>
      </w:pP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2321"/>
        <w:gridCol w:w="5896"/>
        <w:gridCol w:w="1134"/>
      </w:tblGrid>
      <w:tr w:rsidR="00221934" w:rsidRPr="00BE065A" w:rsidTr="00EF6AB0">
        <w:trPr>
          <w:trHeight w:val="203"/>
        </w:trPr>
        <w:tc>
          <w:tcPr>
            <w:tcW w:w="2321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5896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Breaker/Jackhammer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handheld pneumatic or electromechanical tool used to break up hard surfaces e.g., concrete, pavements, road surfaces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Drilling/Mailing/Piling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 xml:space="preserve">Method of construction being used 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Excavator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Tracked or wheeled mechanical plant above 5T using a bucket or similar attachment fixed to a boom to carry out excavation activity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Hand tool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handheld tool to excavate e.g. graft, spade, shovel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Micro/narrow trenching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An excavation process used to excavate a narrow trench to lay assets (predominantly fibre) in the ground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Mini digger (up to 5T)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small excavator less than 5T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No equipment involved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Reported incident caused by no equipment e.g. falling spoil/material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Roller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Plant used to compact backfill material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Saw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 xml:space="preserve">Plant used to cut through footpath/carriageway surface e.g. </w:t>
            </w:r>
            <w:proofErr w:type="spellStart"/>
            <w:r w:rsidRPr="00BE065A">
              <w:t>stihl</w:t>
            </w:r>
            <w:proofErr w:type="spellEnd"/>
            <w:r w:rsidRPr="00BE065A">
              <w:t xml:space="preserve"> saw, road saw</w:t>
            </w:r>
          </w:p>
        </w:tc>
        <w:tc>
          <w:tcPr>
            <w:tcW w:w="1134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 xml:space="preserve">Vacuum excavator 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Plant used to remove granular material from trenches and around pipes and cables by use of powerful suction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Other/Not recorded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Incident with either bespoke/non-standard equipment or no equipment reported</w:t>
            </w:r>
          </w:p>
        </w:tc>
        <w:tc>
          <w:tcPr>
            <w:tcW w:w="1134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</w:tbl>
    <w:p w:rsidR="00221934" w:rsidRPr="00BE065A" w:rsidRDefault="00221934" w:rsidP="00221934">
      <w:pPr>
        <w:rPr>
          <w:b/>
        </w:rPr>
      </w:pPr>
    </w:p>
    <w:p w:rsidR="00221934" w:rsidRDefault="00E40672" w:rsidP="00221934">
      <w:pPr>
        <w:rPr>
          <w:b/>
        </w:rPr>
      </w:pPr>
      <w:r>
        <w:rPr>
          <w:b/>
        </w:rPr>
        <w:t>Nature of the w</w:t>
      </w:r>
      <w:r w:rsidR="00221934" w:rsidRPr="00BE065A">
        <w:rPr>
          <w:b/>
        </w:rPr>
        <w:t>orks</w:t>
      </w:r>
      <w:r w:rsidR="00D55FF2">
        <w:rPr>
          <w:b/>
        </w:rPr>
        <w:t xml:space="preserve"> (tick one section only)</w:t>
      </w:r>
    </w:p>
    <w:p w:rsidR="00E40672" w:rsidRPr="00BE065A" w:rsidRDefault="00E40672" w:rsidP="00221934">
      <w:pPr>
        <w:rPr>
          <w:b/>
        </w:rPr>
      </w:pPr>
    </w:p>
    <w:tbl>
      <w:tblPr>
        <w:tblStyle w:val="TableGrid1"/>
        <w:tblW w:w="9379" w:type="dxa"/>
        <w:tblLayout w:type="fixed"/>
        <w:tblLook w:val="04A0" w:firstRow="1" w:lastRow="0" w:firstColumn="1" w:lastColumn="0" w:noHBand="0" w:noVBand="1"/>
      </w:tblPr>
      <w:tblGrid>
        <w:gridCol w:w="2321"/>
        <w:gridCol w:w="5896"/>
        <w:gridCol w:w="1162"/>
      </w:tblGrid>
      <w:tr w:rsidR="00221934" w:rsidRPr="00BE065A" w:rsidTr="00EF6AB0">
        <w:trPr>
          <w:trHeight w:val="203"/>
        </w:trPr>
        <w:tc>
          <w:tcPr>
            <w:tcW w:w="2321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5896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162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Planned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Works that have been planned/scheduled in advance</w:t>
            </w:r>
          </w:p>
        </w:tc>
        <w:tc>
          <w:tcPr>
            <w:tcW w:w="1162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Unplanned/reactive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 xml:space="preserve">Works of an urgent nature – potholes, leaks </w:t>
            </w:r>
            <w:proofErr w:type="spellStart"/>
            <w:r w:rsidRPr="00BE065A">
              <w:t>etc</w:t>
            </w:r>
            <w:proofErr w:type="spellEnd"/>
            <w:r w:rsidRPr="00BE065A">
              <w:t xml:space="preserve"> to restore service to meet customer service targets etc.</w:t>
            </w:r>
          </w:p>
        </w:tc>
        <w:tc>
          <w:tcPr>
            <w:tcW w:w="1162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Emergency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 xml:space="preserve">Works that needs to be done immediately to repair damaged services in order to prevent continuing risk to health and safety either directly, such as stopping a gas leak, or </w:t>
            </w:r>
            <w:r w:rsidR="00090527" w:rsidRPr="00BE065A">
              <w:t>indirectly</w:t>
            </w:r>
            <w:r w:rsidRPr="00BE065A">
              <w:t xml:space="preserve"> where restoring power to traffic signals at a major junction. It does not mean restoration of services to meet customer service targets. (Definition as per HSG47)</w:t>
            </w:r>
          </w:p>
        </w:tc>
        <w:tc>
          <w:tcPr>
            <w:tcW w:w="1162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</w:tbl>
    <w:p w:rsidR="00221934" w:rsidRPr="00BE065A" w:rsidRDefault="00221934" w:rsidP="00221934">
      <w:pPr>
        <w:rPr>
          <w:b/>
        </w:rPr>
      </w:pPr>
    </w:p>
    <w:p w:rsidR="00221934" w:rsidRDefault="00221934" w:rsidP="00221934">
      <w:pPr>
        <w:rPr>
          <w:b/>
        </w:rPr>
      </w:pPr>
      <w:r w:rsidRPr="00BE065A">
        <w:rPr>
          <w:b/>
        </w:rPr>
        <w:t>Excavator Group (Who Struck the service)</w:t>
      </w:r>
      <w:r w:rsidR="00D55FF2">
        <w:rPr>
          <w:b/>
        </w:rPr>
        <w:t xml:space="preserve"> (tick one section only)</w:t>
      </w:r>
    </w:p>
    <w:p w:rsidR="00E40672" w:rsidRPr="00BE065A" w:rsidRDefault="00E40672" w:rsidP="00221934">
      <w:pPr>
        <w:rPr>
          <w:b/>
        </w:rPr>
      </w:pPr>
    </w:p>
    <w:tbl>
      <w:tblPr>
        <w:tblStyle w:val="TableGrid1"/>
        <w:tblW w:w="3681" w:type="dxa"/>
        <w:tblLayout w:type="fixed"/>
        <w:tblLook w:val="04A0" w:firstRow="1" w:lastRow="0" w:firstColumn="1" w:lastColumn="0" w:noHBand="0" w:noVBand="1"/>
      </w:tblPr>
      <w:tblGrid>
        <w:gridCol w:w="2649"/>
        <w:gridCol w:w="1032"/>
      </w:tblGrid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1032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Tick</w:t>
            </w: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Sub-contractor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/>
                <w:bCs/>
              </w:rPr>
            </w:pP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Contractor (PC)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/>
                <w:bCs/>
              </w:rPr>
            </w:pP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Developer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/>
                <w:bCs/>
              </w:rPr>
            </w:pP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Other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/>
                <w:bCs/>
              </w:rPr>
            </w:pPr>
          </w:p>
        </w:tc>
      </w:tr>
    </w:tbl>
    <w:p w:rsidR="00221934" w:rsidRPr="00BE065A" w:rsidRDefault="00221934" w:rsidP="00221934">
      <w:pPr>
        <w:rPr>
          <w:b/>
        </w:rPr>
      </w:pPr>
    </w:p>
    <w:p w:rsidR="00221934" w:rsidRDefault="00221934" w:rsidP="00221934">
      <w:pPr>
        <w:rPr>
          <w:b/>
        </w:rPr>
      </w:pPr>
      <w:r w:rsidRPr="00BE065A">
        <w:rPr>
          <w:b/>
        </w:rPr>
        <w:t>Survey level</w:t>
      </w:r>
      <w:r w:rsidR="00D55FF2">
        <w:rPr>
          <w:b/>
        </w:rPr>
        <w:t xml:space="preserve"> (tick one section only)</w:t>
      </w:r>
    </w:p>
    <w:p w:rsidR="00A24B97" w:rsidRDefault="00A24B97" w:rsidP="00221934">
      <w:pPr>
        <w:rPr>
          <w:b/>
        </w:rPr>
      </w:pPr>
    </w:p>
    <w:tbl>
      <w:tblPr>
        <w:tblStyle w:val="TableGrid1"/>
        <w:tblW w:w="9443" w:type="dxa"/>
        <w:tblLayout w:type="fixed"/>
        <w:tblLook w:val="04A0" w:firstRow="1" w:lastRow="0" w:firstColumn="1" w:lastColumn="0" w:noHBand="0" w:noVBand="1"/>
      </w:tblPr>
      <w:tblGrid>
        <w:gridCol w:w="2321"/>
        <w:gridCol w:w="5896"/>
        <w:gridCol w:w="1226"/>
      </w:tblGrid>
      <w:tr w:rsidR="00221934" w:rsidRPr="00BE065A" w:rsidTr="00EF6AB0">
        <w:trPr>
          <w:trHeight w:val="203"/>
        </w:trPr>
        <w:tc>
          <w:tcPr>
            <w:tcW w:w="2321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Type</w:t>
            </w:r>
          </w:p>
        </w:tc>
        <w:tc>
          <w:tcPr>
            <w:tcW w:w="5896" w:type="dxa"/>
          </w:tcPr>
          <w:p w:rsidR="00221934" w:rsidRPr="00BE065A" w:rsidRDefault="00221934" w:rsidP="00221934">
            <w:r w:rsidRPr="00BE065A">
              <w:rPr>
                <w:b/>
                <w:bCs/>
              </w:rPr>
              <w:t>Description</w:t>
            </w:r>
          </w:p>
        </w:tc>
        <w:tc>
          <w:tcPr>
            <w:tcW w:w="1226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</w:rPr>
              <w:t>Tick</w:t>
            </w: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Type D</w:t>
            </w:r>
          </w:p>
        </w:tc>
        <w:tc>
          <w:tcPr>
            <w:tcW w:w="5896" w:type="dxa"/>
          </w:tcPr>
          <w:p w:rsidR="00221934" w:rsidRPr="00A24B97" w:rsidRDefault="00221934" w:rsidP="005A79B9">
            <w:pPr>
              <w:spacing w:after="100" w:afterAutospacing="1"/>
              <w:jc w:val="both"/>
            </w:pPr>
            <w:r w:rsidRPr="00A24B97">
              <w:t xml:space="preserve">Desktop records utility search </w:t>
            </w:r>
            <w:r w:rsidR="005A79B9" w:rsidRPr="00A24B97">
              <w:t>e.g. identify known utility owners within the specified survey area</w:t>
            </w:r>
            <w:r w:rsidR="0037761A" w:rsidRPr="00A24B97">
              <w:t>,</w:t>
            </w:r>
            <w:r w:rsidR="005A79B9" w:rsidRPr="00A24B97">
              <w:t xml:space="preserve"> request asset information from identified utility owners, collate all data on utility owners and their assets together onto one drawing </w:t>
            </w:r>
            <w:r w:rsidRPr="00A24B97">
              <w:t>(in accordance with PAS128)</w:t>
            </w:r>
          </w:p>
        </w:tc>
        <w:tc>
          <w:tcPr>
            <w:tcW w:w="1226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Type C</w:t>
            </w:r>
          </w:p>
        </w:tc>
        <w:tc>
          <w:tcPr>
            <w:tcW w:w="5896" w:type="dxa"/>
          </w:tcPr>
          <w:p w:rsidR="00221934" w:rsidRPr="00A24B97" w:rsidRDefault="00221934" w:rsidP="005A79B9">
            <w:pPr>
              <w:spacing w:after="100" w:afterAutospacing="1"/>
              <w:jc w:val="both"/>
            </w:pPr>
            <w:r w:rsidRPr="00A24B97">
              <w:t xml:space="preserve">Site reconnaissance </w:t>
            </w:r>
            <w:r w:rsidR="005A79B9" w:rsidRPr="00A24B97">
              <w:t xml:space="preserve">by a surveyor </w:t>
            </w:r>
            <w:r w:rsidRPr="00A24B97">
              <w:t xml:space="preserve">to identify physical features that support the existence of utilities within the survey area </w:t>
            </w:r>
            <w:r w:rsidR="004929AF" w:rsidRPr="00A24B97">
              <w:t>e.g. existing street furniture, reinstatement scars</w:t>
            </w:r>
            <w:r w:rsidR="005A79B9" w:rsidRPr="00A24B97">
              <w:t xml:space="preserve"> </w:t>
            </w:r>
            <w:r w:rsidRPr="00A24B97">
              <w:t>(in accordance with PAS128)</w:t>
            </w:r>
          </w:p>
        </w:tc>
        <w:tc>
          <w:tcPr>
            <w:tcW w:w="1226" w:type="dxa"/>
          </w:tcPr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Type B</w:t>
            </w:r>
          </w:p>
        </w:tc>
        <w:tc>
          <w:tcPr>
            <w:tcW w:w="5896" w:type="dxa"/>
          </w:tcPr>
          <w:p w:rsidR="00221934" w:rsidRPr="00A24B97" w:rsidRDefault="00221934" w:rsidP="005A79B9">
            <w:pPr>
              <w:spacing w:after="100" w:afterAutospacing="1"/>
              <w:jc w:val="both"/>
            </w:pPr>
            <w:r w:rsidRPr="00A24B97">
              <w:t xml:space="preserve">Geographical techniques to detect and identify utilities within the survey area </w:t>
            </w:r>
            <w:r w:rsidR="004929AF" w:rsidRPr="00A24B97">
              <w:t>using</w:t>
            </w:r>
            <w:r w:rsidRPr="00A24B97">
              <w:t xml:space="preserve"> a minimum of two techniques</w:t>
            </w:r>
            <w:r w:rsidR="004929AF" w:rsidRPr="00A24B97">
              <w:t xml:space="preserve"> e.g.</w:t>
            </w:r>
            <w:r w:rsidRPr="00A24B97">
              <w:t xml:space="preserve"> </w:t>
            </w:r>
            <w:r w:rsidR="004929AF" w:rsidRPr="00A24B97">
              <w:t xml:space="preserve">ground penetrating radar (GPR), electromagnetic locating (EML) or radio frequency detection (CAT and </w:t>
            </w:r>
            <w:proofErr w:type="spellStart"/>
            <w:r w:rsidR="004929AF" w:rsidRPr="00A24B97">
              <w:t>genny</w:t>
            </w:r>
            <w:proofErr w:type="spellEnd"/>
            <w:r w:rsidR="004929AF" w:rsidRPr="00A24B97">
              <w:t xml:space="preserve">) </w:t>
            </w:r>
            <w:r w:rsidRPr="00A24B97">
              <w:t xml:space="preserve"> (in accordance with PAS128)</w:t>
            </w:r>
          </w:p>
        </w:tc>
        <w:tc>
          <w:tcPr>
            <w:tcW w:w="1226" w:type="dxa"/>
          </w:tcPr>
          <w:p w:rsidR="00221934" w:rsidRPr="00BE065A" w:rsidRDefault="00221934" w:rsidP="00221934"/>
          <w:p w:rsidR="00221934" w:rsidRPr="00BE065A" w:rsidRDefault="00221934" w:rsidP="00221934"/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Type A</w:t>
            </w:r>
          </w:p>
        </w:tc>
        <w:tc>
          <w:tcPr>
            <w:tcW w:w="5896" w:type="dxa"/>
          </w:tcPr>
          <w:p w:rsidR="00221934" w:rsidRPr="00A24B97" w:rsidRDefault="00221934" w:rsidP="005A79B9">
            <w:pPr>
              <w:spacing w:after="100" w:afterAutospacing="1"/>
              <w:jc w:val="both"/>
            </w:pPr>
            <w:r w:rsidRPr="00A24B97">
              <w:t xml:space="preserve">Verification comprising exposing the utility within the survey area to confirm and record the location and other attribute data </w:t>
            </w:r>
            <w:r w:rsidR="004929AF" w:rsidRPr="00A24B97">
              <w:t xml:space="preserve">using safe digging practices e.g. </w:t>
            </w:r>
            <w:r w:rsidR="005A79B9" w:rsidRPr="00A24B97">
              <w:t xml:space="preserve">lifting manhole cover, hand dug </w:t>
            </w:r>
            <w:r w:rsidR="004929AF" w:rsidRPr="00A24B97">
              <w:t>trial</w:t>
            </w:r>
            <w:r w:rsidRPr="00A24B97">
              <w:t xml:space="preserve"> holes etc. (in accordance with PAS128)</w:t>
            </w:r>
          </w:p>
        </w:tc>
        <w:tc>
          <w:tcPr>
            <w:tcW w:w="1226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  <w:tr w:rsidR="00221934" w:rsidRPr="00BE065A" w:rsidTr="00EF6AB0">
        <w:trPr>
          <w:trHeight w:val="214"/>
        </w:trPr>
        <w:tc>
          <w:tcPr>
            <w:tcW w:w="2321" w:type="dxa"/>
          </w:tcPr>
          <w:p w:rsidR="00221934" w:rsidRPr="00BE065A" w:rsidRDefault="00221934" w:rsidP="00221934">
            <w:pPr>
              <w:spacing w:after="100" w:afterAutospacing="1"/>
            </w:pPr>
            <w:r w:rsidRPr="00BE065A">
              <w:t>Non PAS128</w:t>
            </w:r>
          </w:p>
        </w:tc>
        <w:tc>
          <w:tcPr>
            <w:tcW w:w="5896" w:type="dxa"/>
          </w:tcPr>
          <w:p w:rsidR="00221934" w:rsidRPr="00BE065A" w:rsidRDefault="00221934" w:rsidP="005A79B9">
            <w:pPr>
              <w:spacing w:after="100" w:afterAutospacing="1"/>
              <w:jc w:val="both"/>
            </w:pPr>
            <w:r w:rsidRPr="00BE065A">
              <w:t>A type of search not in accordance with PAS128</w:t>
            </w:r>
          </w:p>
        </w:tc>
        <w:tc>
          <w:tcPr>
            <w:tcW w:w="1226" w:type="dxa"/>
          </w:tcPr>
          <w:p w:rsidR="00221934" w:rsidRPr="00BE065A" w:rsidRDefault="00221934" w:rsidP="00221934">
            <w:pPr>
              <w:spacing w:after="100" w:afterAutospacing="1"/>
            </w:pPr>
          </w:p>
        </w:tc>
      </w:tr>
    </w:tbl>
    <w:p w:rsidR="00221934" w:rsidRPr="00BE065A" w:rsidRDefault="00221934" w:rsidP="00221934">
      <w:pPr>
        <w:rPr>
          <w:b/>
        </w:rPr>
      </w:pPr>
    </w:p>
    <w:tbl>
      <w:tblPr>
        <w:tblStyle w:val="TableGrid1"/>
        <w:tblW w:w="9442" w:type="dxa"/>
        <w:tblLayout w:type="fixed"/>
        <w:tblLook w:val="04A0" w:firstRow="1" w:lastRow="0" w:firstColumn="1" w:lastColumn="0" w:noHBand="0" w:noVBand="1"/>
      </w:tblPr>
      <w:tblGrid>
        <w:gridCol w:w="2251"/>
        <w:gridCol w:w="7191"/>
      </w:tblGrid>
      <w:tr w:rsidR="00221934" w:rsidRPr="00BE065A" w:rsidTr="00EF6AB0">
        <w:trPr>
          <w:trHeight w:val="205"/>
        </w:trPr>
        <w:tc>
          <w:tcPr>
            <w:tcW w:w="2251" w:type="dxa"/>
          </w:tcPr>
          <w:p w:rsidR="00221934" w:rsidRPr="00BE065A" w:rsidRDefault="00E40672" w:rsidP="00221934">
            <w:r>
              <w:rPr>
                <w:b/>
                <w:bCs/>
              </w:rPr>
              <w:t>Additional information</w:t>
            </w:r>
          </w:p>
        </w:tc>
        <w:tc>
          <w:tcPr>
            <w:tcW w:w="7191" w:type="dxa"/>
          </w:tcPr>
          <w:p w:rsidR="00221934" w:rsidRPr="00BE065A" w:rsidRDefault="00221934" w:rsidP="00221934"/>
        </w:tc>
      </w:tr>
    </w:tbl>
    <w:p w:rsidR="00221934" w:rsidRDefault="00221934" w:rsidP="00221934">
      <w:pPr>
        <w:rPr>
          <w:b/>
        </w:rPr>
      </w:pPr>
    </w:p>
    <w:p w:rsidR="00E40672" w:rsidRDefault="00E40672" w:rsidP="00221934">
      <w:pPr>
        <w:rPr>
          <w:b/>
        </w:rPr>
      </w:pPr>
    </w:p>
    <w:p w:rsidR="00221934" w:rsidRDefault="00221934" w:rsidP="00221934">
      <w:pPr>
        <w:rPr>
          <w:b/>
        </w:rPr>
      </w:pPr>
      <w:r w:rsidRPr="00BE065A">
        <w:rPr>
          <w:b/>
        </w:rPr>
        <w:t>Service age</w:t>
      </w:r>
      <w:r w:rsidR="00D55FF2">
        <w:rPr>
          <w:b/>
        </w:rPr>
        <w:t xml:space="preserve"> (tick one section only)</w:t>
      </w:r>
    </w:p>
    <w:p w:rsidR="00E40672" w:rsidRPr="00BE065A" w:rsidRDefault="00E40672" w:rsidP="00221934">
      <w:pPr>
        <w:rPr>
          <w:b/>
        </w:rPr>
      </w:pPr>
    </w:p>
    <w:tbl>
      <w:tblPr>
        <w:tblStyle w:val="TableGrid1"/>
        <w:tblW w:w="3681" w:type="dxa"/>
        <w:tblLayout w:type="fixed"/>
        <w:tblLook w:val="04A0" w:firstRow="1" w:lastRow="0" w:firstColumn="1" w:lastColumn="0" w:noHBand="0" w:noVBand="1"/>
      </w:tblPr>
      <w:tblGrid>
        <w:gridCol w:w="2649"/>
        <w:gridCol w:w="1032"/>
      </w:tblGrid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r w:rsidRPr="00BE065A">
              <w:rPr>
                <w:bCs/>
              </w:rPr>
              <w:t>Type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/>
              </w:rPr>
            </w:pPr>
            <w:r w:rsidRPr="00BE065A">
              <w:rPr>
                <w:b/>
                <w:bCs/>
              </w:rPr>
              <w:t>Tick</w:t>
            </w: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Existing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Cs/>
              </w:rPr>
            </w:pP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New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Cs/>
              </w:rPr>
            </w:pPr>
          </w:p>
        </w:tc>
      </w:tr>
      <w:tr w:rsidR="00221934" w:rsidRPr="00BE065A" w:rsidTr="00EF6AB0">
        <w:trPr>
          <w:trHeight w:val="203"/>
        </w:trPr>
        <w:tc>
          <w:tcPr>
            <w:tcW w:w="2649" w:type="dxa"/>
          </w:tcPr>
          <w:p w:rsidR="00221934" w:rsidRPr="00BE065A" w:rsidRDefault="00221934" w:rsidP="00221934">
            <w:pPr>
              <w:rPr>
                <w:bCs/>
              </w:rPr>
            </w:pPr>
            <w:r w:rsidRPr="00BE065A">
              <w:rPr>
                <w:bCs/>
              </w:rPr>
              <w:t>Unknown</w:t>
            </w:r>
          </w:p>
        </w:tc>
        <w:tc>
          <w:tcPr>
            <w:tcW w:w="1032" w:type="dxa"/>
          </w:tcPr>
          <w:p w:rsidR="00221934" w:rsidRPr="00BE065A" w:rsidRDefault="00221934" w:rsidP="00221934">
            <w:pPr>
              <w:rPr>
                <w:bCs/>
              </w:rPr>
            </w:pPr>
          </w:p>
        </w:tc>
      </w:tr>
    </w:tbl>
    <w:p w:rsidR="00221934" w:rsidRPr="00BE065A" w:rsidRDefault="00221934" w:rsidP="00221934">
      <w:pPr>
        <w:rPr>
          <w:b/>
        </w:rPr>
      </w:pPr>
    </w:p>
    <w:tbl>
      <w:tblPr>
        <w:tblStyle w:val="TableGrid1"/>
        <w:tblW w:w="9442" w:type="dxa"/>
        <w:tblLayout w:type="fixed"/>
        <w:tblLook w:val="04A0" w:firstRow="1" w:lastRow="0" w:firstColumn="1" w:lastColumn="0" w:noHBand="0" w:noVBand="1"/>
      </w:tblPr>
      <w:tblGrid>
        <w:gridCol w:w="2251"/>
        <w:gridCol w:w="7191"/>
      </w:tblGrid>
      <w:tr w:rsidR="00E40672" w:rsidRPr="00BE065A" w:rsidTr="004A580B">
        <w:trPr>
          <w:trHeight w:val="205"/>
        </w:trPr>
        <w:tc>
          <w:tcPr>
            <w:tcW w:w="2251" w:type="dxa"/>
          </w:tcPr>
          <w:p w:rsidR="00E40672" w:rsidRPr="00BE065A" w:rsidRDefault="00E40672" w:rsidP="00E40672">
            <w:r>
              <w:rPr>
                <w:b/>
                <w:bCs/>
              </w:rPr>
              <w:t>Action take</w:t>
            </w:r>
            <w:r w:rsidRPr="00BE065A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following the service strike to prevent recurrence</w:t>
            </w:r>
          </w:p>
        </w:tc>
        <w:tc>
          <w:tcPr>
            <w:tcW w:w="7191" w:type="dxa"/>
          </w:tcPr>
          <w:p w:rsidR="00E40672" w:rsidRPr="00BE065A" w:rsidRDefault="00E40672" w:rsidP="004A580B"/>
        </w:tc>
      </w:tr>
    </w:tbl>
    <w:p w:rsidR="00F662DB" w:rsidRPr="00221934" w:rsidRDefault="00F662DB" w:rsidP="002219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921"/>
        <w:gridCol w:w="708"/>
        <w:gridCol w:w="1389"/>
      </w:tblGrid>
      <w:tr w:rsidR="00A24B97" w:rsidRPr="005323F6" w:rsidTr="00A24B97">
        <w:tc>
          <w:tcPr>
            <w:tcW w:w="2304" w:type="dxa"/>
            <w:shd w:val="pct15" w:color="auto" w:fill="auto"/>
          </w:tcPr>
          <w:p w:rsidR="00A24B97" w:rsidRPr="005323F6" w:rsidRDefault="00A24B97" w:rsidP="004674A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Form completed by</w:t>
            </w:r>
          </w:p>
        </w:tc>
        <w:tc>
          <w:tcPr>
            <w:tcW w:w="4921" w:type="dxa"/>
            <w:shd w:val="clear" w:color="auto" w:fill="auto"/>
          </w:tcPr>
          <w:p w:rsidR="00A24B97" w:rsidRDefault="00A24B97" w:rsidP="004674A2">
            <w:pPr>
              <w:rPr>
                <w:rFonts w:eastAsia="Calibri"/>
              </w:rPr>
            </w:pPr>
          </w:p>
          <w:p w:rsidR="00A24B97" w:rsidRPr="005323F6" w:rsidRDefault="00A24B97" w:rsidP="004674A2">
            <w:pPr>
              <w:rPr>
                <w:rFonts w:eastAsia="Calibri"/>
              </w:rPr>
            </w:pPr>
          </w:p>
        </w:tc>
        <w:tc>
          <w:tcPr>
            <w:tcW w:w="708" w:type="dxa"/>
            <w:shd w:val="pct15" w:color="auto" w:fill="auto"/>
          </w:tcPr>
          <w:p w:rsidR="00A24B97" w:rsidRPr="005323F6" w:rsidRDefault="00A24B97" w:rsidP="004674A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Date</w:t>
            </w:r>
          </w:p>
        </w:tc>
        <w:tc>
          <w:tcPr>
            <w:tcW w:w="1389" w:type="dxa"/>
            <w:shd w:val="clear" w:color="auto" w:fill="auto"/>
          </w:tcPr>
          <w:p w:rsidR="00A24B97" w:rsidRPr="005323F6" w:rsidRDefault="00A24B97" w:rsidP="004674A2">
            <w:pPr>
              <w:rPr>
                <w:rFonts w:eastAsia="Calibri"/>
              </w:rPr>
            </w:pPr>
          </w:p>
        </w:tc>
      </w:tr>
    </w:tbl>
    <w:p w:rsidR="003342A2" w:rsidRDefault="003342A2" w:rsidP="00D86C44"/>
    <w:p w:rsidR="003342A2" w:rsidRDefault="003342A2" w:rsidP="00D86C44"/>
    <w:p w:rsidR="003342A2" w:rsidRDefault="003342A2" w:rsidP="00D86C44"/>
    <w:sectPr w:rsidR="003342A2" w:rsidSect="002F6B7D">
      <w:headerReference w:type="default" r:id="rId9"/>
      <w:footerReference w:type="default" r:id="rId10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90" w:rsidRDefault="006C0590" w:rsidP="008876D8">
      <w:r>
        <w:separator/>
      </w:r>
    </w:p>
  </w:endnote>
  <w:endnote w:type="continuationSeparator" w:id="0">
    <w:p w:rsidR="006C0590" w:rsidRDefault="006C0590" w:rsidP="0088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8" w:rsidRDefault="008876D8" w:rsidP="008876D8">
    <w:pPr>
      <w:pStyle w:val="Footer"/>
      <w:tabs>
        <w:tab w:val="clear" w:pos="4513"/>
        <w:tab w:val="clear" w:pos="9026"/>
        <w:tab w:val="left" w:pos="1777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8876D8" w:rsidRPr="00A071B3" w:rsidTr="0084497B">
      <w:tc>
        <w:tcPr>
          <w:tcW w:w="2254" w:type="dxa"/>
        </w:tcPr>
        <w:p w:rsidR="008876D8" w:rsidRPr="00A071B3" w:rsidRDefault="008876D8" w:rsidP="008876D8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2254" w:type="dxa"/>
        </w:tcPr>
        <w:p w:rsidR="008876D8" w:rsidRPr="008432DF" w:rsidRDefault="008876D8" w:rsidP="008876D8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 xml:space="preserve">Version date: </w:t>
          </w:r>
          <w:r w:rsidR="000D1B12">
            <w:rPr>
              <w:sz w:val="16"/>
              <w:szCs w:val="16"/>
            </w:rPr>
            <w:t>24.02.22</w:t>
          </w:r>
        </w:p>
      </w:tc>
      <w:tc>
        <w:tcPr>
          <w:tcW w:w="2254" w:type="dxa"/>
        </w:tcPr>
        <w:p w:rsidR="008876D8" w:rsidRPr="008432DF" w:rsidRDefault="008876D8" w:rsidP="008876D8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 w:rsidRPr="00170E58">
            <w:rPr>
              <w:sz w:val="16"/>
              <w:szCs w:val="16"/>
            </w:rPr>
            <w:t>1</w:t>
          </w:r>
        </w:p>
      </w:tc>
      <w:tc>
        <w:tcPr>
          <w:tcW w:w="2254" w:type="dxa"/>
        </w:tcPr>
        <w:p w:rsidR="008876D8" w:rsidRDefault="00E65136" w:rsidP="008876D8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STD</w:t>
          </w:r>
          <w:r w:rsidR="008876D8" w:rsidRPr="008432DF">
            <w:rPr>
              <w:b/>
              <w:sz w:val="16"/>
              <w:szCs w:val="16"/>
            </w:rPr>
            <w:t>:</w:t>
          </w:r>
          <w:r w:rsidR="003E1483">
            <w:rPr>
              <w:sz w:val="16"/>
              <w:szCs w:val="16"/>
            </w:rPr>
            <w:t xml:space="preserve"> </w:t>
          </w:r>
          <w:r w:rsidR="007801EB">
            <w:rPr>
              <w:sz w:val="16"/>
              <w:szCs w:val="16"/>
            </w:rPr>
            <w:t>Excavations</w:t>
          </w:r>
        </w:p>
        <w:p w:rsidR="0038627B" w:rsidRPr="0038627B" w:rsidRDefault="0038627B" w:rsidP="008876D8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 No: </w:t>
          </w:r>
          <w:r>
            <w:rPr>
              <w:sz w:val="16"/>
              <w:szCs w:val="16"/>
            </w:rPr>
            <w:t>071</w:t>
          </w:r>
        </w:p>
      </w:tc>
    </w:tr>
    <w:tr w:rsidR="008876D8" w:rsidRPr="00A071B3" w:rsidTr="0084497B">
      <w:tc>
        <w:tcPr>
          <w:tcW w:w="9016" w:type="dxa"/>
          <w:gridSpan w:val="4"/>
        </w:tcPr>
        <w:p w:rsidR="008876D8" w:rsidRPr="00A071B3" w:rsidRDefault="008876D8" w:rsidP="003E1483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 xml:space="preserve">Uncontrolled if printed or copied – always check the Group </w:t>
          </w:r>
          <w:r w:rsidR="003E1483">
            <w:rPr>
              <w:b/>
              <w:sz w:val="16"/>
              <w:szCs w:val="16"/>
            </w:rPr>
            <w:t>HS&amp;E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8876D8" w:rsidRDefault="008876D8" w:rsidP="008876D8">
    <w:pPr>
      <w:pStyle w:val="Footer"/>
      <w:tabs>
        <w:tab w:val="clear" w:pos="4513"/>
        <w:tab w:val="clear" w:pos="9026"/>
        <w:tab w:val="left" w:pos="17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90" w:rsidRDefault="006C0590" w:rsidP="008876D8">
      <w:r>
        <w:separator/>
      </w:r>
    </w:p>
  </w:footnote>
  <w:footnote w:type="continuationSeparator" w:id="0">
    <w:p w:rsidR="006C0590" w:rsidRDefault="006C0590" w:rsidP="0088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6457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6696" w:rsidRDefault="002E66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2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6696" w:rsidRDefault="002E6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B42"/>
    <w:multiLevelType w:val="hybridMultilevel"/>
    <w:tmpl w:val="7B4A21DC"/>
    <w:lvl w:ilvl="0" w:tplc="080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274"/>
    <w:multiLevelType w:val="hybridMultilevel"/>
    <w:tmpl w:val="99E09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5A66"/>
    <w:multiLevelType w:val="hybridMultilevel"/>
    <w:tmpl w:val="25D6DE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D63EDA"/>
    <w:multiLevelType w:val="hybridMultilevel"/>
    <w:tmpl w:val="99E09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4E"/>
    <w:rsid w:val="0001780B"/>
    <w:rsid w:val="0003267B"/>
    <w:rsid w:val="00066836"/>
    <w:rsid w:val="00090527"/>
    <w:rsid w:val="000C65EA"/>
    <w:rsid w:val="000D1517"/>
    <w:rsid w:val="000D1B12"/>
    <w:rsid w:val="000D50EB"/>
    <w:rsid w:val="000E24C3"/>
    <w:rsid w:val="000F48CD"/>
    <w:rsid w:val="0010177B"/>
    <w:rsid w:val="00102B81"/>
    <w:rsid w:val="00103925"/>
    <w:rsid w:val="00126AFF"/>
    <w:rsid w:val="00142AD7"/>
    <w:rsid w:val="00147851"/>
    <w:rsid w:val="00154655"/>
    <w:rsid w:val="00170E58"/>
    <w:rsid w:val="001B17E2"/>
    <w:rsid w:val="001C1C53"/>
    <w:rsid w:val="001E27A9"/>
    <w:rsid w:val="00221934"/>
    <w:rsid w:val="00251785"/>
    <w:rsid w:val="0028034E"/>
    <w:rsid w:val="002A5BA4"/>
    <w:rsid w:val="002E6696"/>
    <w:rsid w:val="002F6B7D"/>
    <w:rsid w:val="00327CC2"/>
    <w:rsid w:val="003342A2"/>
    <w:rsid w:val="00335BA1"/>
    <w:rsid w:val="00375737"/>
    <w:rsid w:val="0037761A"/>
    <w:rsid w:val="0038627B"/>
    <w:rsid w:val="003A5BCE"/>
    <w:rsid w:val="003E1483"/>
    <w:rsid w:val="003E56B4"/>
    <w:rsid w:val="003F3998"/>
    <w:rsid w:val="004045B1"/>
    <w:rsid w:val="00415C67"/>
    <w:rsid w:val="00424BD0"/>
    <w:rsid w:val="00433603"/>
    <w:rsid w:val="00440DF9"/>
    <w:rsid w:val="00487FB2"/>
    <w:rsid w:val="004929AF"/>
    <w:rsid w:val="004A3F07"/>
    <w:rsid w:val="004B1E1C"/>
    <w:rsid w:val="004C553A"/>
    <w:rsid w:val="004E5AB5"/>
    <w:rsid w:val="004F508D"/>
    <w:rsid w:val="00505FED"/>
    <w:rsid w:val="00506230"/>
    <w:rsid w:val="00514474"/>
    <w:rsid w:val="00535B93"/>
    <w:rsid w:val="00540F72"/>
    <w:rsid w:val="00553A0F"/>
    <w:rsid w:val="00582903"/>
    <w:rsid w:val="005A79B9"/>
    <w:rsid w:val="005B5922"/>
    <w:rsid w:val="005E0BB3"/>
    <w:rsid w:val="005E57A8"/>
    <w:rsid w:val="006247C8"/>
    <w:rsid w:val="00630D6F"/>
    <w:rsid w:val="00670128"/>
    <w:rsid w:val="006755B5"/>
    <w:rsid w:val="006C0590"/>
    <w:rsid w:val="006D7ACF"/>
    <w:rsid w:val="006F7B7E"/>
    <w:rsid w:val="00751F4C"/>
    <w:rsid w:val="00752558"/>
    <w:rsid w:val="00754EC5"/>
    <w:rsid w:val="00760E6C"/>
    <w:rsid w:val="007753C3"/>
    <w:rsid w:val="007801EB"/>
    <w:rsid w:val="007838DB"/>
    <w:rsid w:val="007F1615"/>
    <w:rsid w:val="008107BC"/>
    <w:rsid w:val="00814A42"/>
    <w:rsid w:val="00827F70"/>
    <w:rsid w:val="008334FA"/>
    <w:rsid w:val="00853176"/>
    <w:rsid w:val="00871447"/>
    <w:rsid w:val="008876D8"/>
    <w:rsid w:val="008B1918"/>
    <w:rsid w:val="008B4143"/>
    <w:rsid w:val="008C41CB"/>
    <w:rsid w:val="008D1197"/>
    <w:rsid w:val="009030EE"/>
    <w:rsid w:val="009132EA"/>
    <w:rsid w:val="00925689"/>
    <w:rsid w:val="0096470E"/>
    <w:rsid w:val="00973029"/>
    <w:rsid w:val="00995A4C"/>
    <w:rsid w:val="009A60F6"/>
    <w:rsid w:val="009B7154"/>
    <w:rsid w:val="009C7FDF"/>
    <w:rsid w:val="00A24B97"/>
    <w:rsid w:val="00A979B0"/>
    <w:rsid w:val="00AF1EEB"/>
    <w:rsid w:val="00AF7045"/>
    <w:rsid w:val="00B22135"/>
    <w:rsid w:val="00B570ED"/>
    <w:rsid w:val="00BC5138"/>
    <w:rsid w:val="00BE065A"/>
    <w:rsid w:val="00BE0FCA"/>
    <w:rsid w:val="00C15F27"/>
    <w:rsid w:val="00C240E7"/>
    <w:rsid w:val="00C7702A"/>
    <w:rsid w:val="00C844B2"/>
    <w:rsid w:val="00D55FF2"/>
    <w:rsid w:val="00D66E62"/>
    <w:rsid w:val="00D86C44"/>
    <w:rsid w:val="00DB5EC7"/>
    <w:rsid w:val="00DB6BE6"/>
    <w:rsid w:val="00E022AD"/>
    <w:rsid w:val="00E2204D"/>
    <w:rsid w:val="00E357C8"/>
    <w:rsid w:val="00E40672"/>
    <w:rsid w:val="00E458F8"/>
    <w:rsid w:val="00E5495F"/>
    <w:rsid w:val="00E60640"/>
    <w:rsid w:val="00E65136"/>
    <w:rsid w:val="00EA19F0"/>
    <w:rsid w:val="00F13951"/>
    <w:rsid w:val="00F20737"/>
    <w:rsid w:val="00F30CD0"/>
    <w:rsid w:val="00F36795"/>
    <w:rsid w:val="00F662DB"/>
    <w:rsid w:val="00FA1B6E"/>
    <w:rsid w:val="00FB6487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AC45"/>
  <w15:chartTrackingRefBased/>
  <w15:docId w15:val="{490A39CA-38CC-4210-A5F6-1438C880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2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D8"/>
  </w:style>
  <w:style w:type="paragraph" w:styleId="Footer">
    <w:name w:val="footer"/>
    <w:basedOn w:val="Normal"/>
    <w:link w:val="FooterChar"/>
    <w:uiPriority w:val="99"/>
    <w:unhideWhenUsed/>
    <w:rsid w:val="00887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D8"/>
  </w:style>
  <w:style w:type="table" w:styleId="TableGrid">
    <w:name w:val="Table Grid"/>
    <w:basedOn w:val="TableNormal"/>
    <w:uiPriority w:val="39"/>
    <w:rsid w:val="008876D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2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442A-BC91-4012-B922-E788E429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Bainbridge, Abigail</cp:lastModifiedBy>
  <cp:revision>5</cp:revision>
  <dcterms:created xsi:type="dcterms:W3CDTF">2022-01-31T13:42:00Z</dcterms:created>
  <dcterms:modified xsi:type="dcterms:W3CDTF">2022-04-28T10:17:00Z</dcterms:modified>
</cp:coreProperties>
</file>